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809307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5C6171">
        <w:rPr>
          <w:rFonts w:ascii="Century Gothic" w:hAnsi="Century Gothic"/>
          <w:b/>
          <w:sz w:val="24"/>
          <w:szCs w:val="24"/>
        </w:rPr>
        <w:t>Cuadragésima Tercera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C6171">
        <w:rPr>
          <w:rFonts w:ascii="Century Gothic" w:hAnsi="Century Gothic"/>
          <w:b/>
          <w:sz w:val="24"/>
          <w:szCs w:val="24"/>
        </w:rPr>
        <w:t>veinte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C6171" w:rsidRPr="0052553A" w:rsidRDefault="005C6171" w:rsidP="005C617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C6171" w:rsidRPr="0052553A" w:rsidRDefault="005C6171" w:rsidP="005C617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C6171" w:rsidRPr="0052553A" w:rsidRDefault="005C6171" w:rsidP="005C617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6944/2019 y 3938/2019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Primer y Sexto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69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y 37/2018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>s los días siete y catorce de agosto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5C6171" w:rsidRDefault="005C6171" w:rsidP="005C617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502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2018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</w:t>
      </w:r>
      <w:r>
        <w:rPr>
          <w:rFonts w:ascii="Century Gothic" w:hAnsi="Century Gothic"/>
          <w:b w:val="0"/>
          <w:sz w:val="24"/>
          <w:szCs w:val="24"/>
        </w:rPr>
        <w:t>ivado del Juicio Administrativo 1275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2017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Cuarta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69/2019 del Primer Tribunal Colegiado en Materia Administrativa del Tercer Circuito.</w:t>
      </w:r>
    </w:p>
    <w:p w:rsidR="00E86C1F" w:rsidRPr="00DE0644" w:rsidRDefault="005C6171" w:rsidP="005C617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C6171">
        <w:rPr>
          <w:rFonts w:ascii="Century Gothic" w:hAnsi="Century Gothic"/>
          <w:sz w:val="24"/>
          <w:szCs w:val="24"/>
        </w:rPr>
        <w:t>Análisis, discusión y en su caso aprobación del proyecto de sentencia del expediente 54/2016 Recurso de Apelación derivado del Juicio Administrativo 486/2012 del índice de la Segunda Sala Unitaria del Tribunal de Justicia Administrativa del Estado, en cumplimiento al Juicio de Amparo 37/2018 del Segundo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5C6171">
        <w:rPr>
          <w:rFonts w:ascii="Century Gothic" w:hAnsi="Century Gothic"/>
          <w:b/>
          <w:sz w:val="24"/>
          <w:szCs w:val="24"/>
        </w:rPr>
        <w:t>ADALAJARA, JALISCO, DIECINUEVE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809307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A917-5E05-4534-A163-213E970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2019-08-23T15:56:00Z</dcterms:created>
  <dcterms:modified xsi:type="dcterms:W3CDTF">2019-08-23T15:56:00Z</dcterms:modified>
</cp:coreProperties>
</file>